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D1" w:rsidRDefault="008C78E6">
      <w:pPr>
        <w:snapToGrid w:val="0"/>
        <w:jc w:val="center"/>
        <w:outlineLvl w:val="0"/>
        <w:rPr>
          <w:rFonts w:ascii="方正小标宋简体" w:eastAsia="方正小标宋简体" w:hAnsi="Times New Roman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44"/>
        </w:rPr>
        <w:t>上海环丽建筑材料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有限公司</w:t>
      </w:r>
    </w:p>
    <w:p w:rsidR="006377D1" w:rsidRDefault="008C78E6">
      <w:pPr>
        <w:snapToGrid w:val="0"/>
        <w:jc w:val="center"/>
        <w:outlineLvl w:val="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“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1.6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”起重伤害重伤事故调查报告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分左右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在南汇新城镇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层林路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上海环丽建筑材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料有限公司装卸码头上，发生一起起重伤害事故，造成一人重伤。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事故发生后，根据《中华人民共和国安全生产法》和《生产安全事故报告和调查处理条例》（国务院令第</w:t>
      </w:r>
      <w:r>
        <w:rPr>
          <w:rFonts w:ascii="仿宋_GB2312" w:eastAsia="仿宋_GB2312" w:hAnsi="仿宋_GB2312" w:cs="仿宋_GB2312"/>
          <w:sz w:val="32"/>
          <w:szCs w:val="32"/>
        </w:rPr>
        <w:t>493</w:t>
      </w:r>
      <w:r>
        <w:rPr>
          <w:rFonts w:ascii="仿宋_GB2312" w:eastAsia="仿宋_GB2312" w:hAnsi="仿宋_GB2312" w:cs="仿宋_GB2312"/>
          <w:sz w:val="32"/>
          <w:szCs w:val="32"/>
        </w:rPr>
        <w:t>号）等相关法律法规的规定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/>
          <w:sz w:val="32"/>
          <w:szCs w:val="32"/>
        </w:rPr>
        <w:t>浦东新区人民政府的授权，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/>
          <w:sz w:val="32"/>
          <w:szCs w:val="32"/>
        </w:rPr>
        <w:t>浦东新区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</w:t>
      </w:r>
      <w:r>
        <w:rPr>
          <w:rFonts w:ascii="仿宋_GB2312" w:eastAsia="仿宋_GB2312" w:hAnsi="仿宋_GB2312" w:cs="仿宋_GB2312"/>
          <w:sz w:val="32"/>
          <w:szCs w:val="32"/>
        </w:rPr>
        <w:t>管理局（以下简称浦东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</w:t>
      </w:r>
      <w:r>
        <w:rPr>
          <w:rFonts w:ascii="仿宋_GB2312" w:eastAsia="仿宋_GB2312" w:hAnsi="仿宋_GB2312" w:cs="仿宋_GB2312"/>
          <w:sz w:val="32"/>
          <w:szCs w:val="32"/>
        </w:rPr>
        <w:t>局）牵头，会同浦东新区市场监督管理局、浦东新区总工会、上海市公安局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浦东分局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南汇新城</w:t>
      </w:r>
      <w:r>
        <w:rPr>
          <w:rFonts w:ascii="仿宋_GB2312" w:eastAsia="仿宋_GB2312" w:hAnsi="仿宋_GB2312" w:cs="仿宋_GB2312"/>
          <w:sz w:val="32"/>
          <w:szCs w:val="32"/>
        </w:rPr>
        <w:t>镇人民政府，并邀请浦东新区监察委员会组成调查组。调查组通过现场勘查、调查取证、综合分析等，查明了事故发生的原因，认定了事故的性质，提出了对有关责任人员和责任单位的处理建议和防范措施。现将情况报告如下：</w:t>
      </w:r>
    </w:p>
    <w:p w:rsidR="006377D1" w:rsidRDefault="008C78E6">
      <w:pPr>
        <w:spacing w:line="60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</w:t>
      </w:r>
      <w:r>
        <w:rPr>
          <w:rFonts w:ascii="黑体" w:eastAsia="黑体" w:hAnsi="黑体" w:cs="黑体"/>
          <w:b/>
          <w:sz w:val="32"/>
          <w:szCs w:val="32"/>
        </w:rPr>
        <w:t>基本情况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（一）事故相关单位情况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上海环丽建筑材料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有限公司（以下简称“环丽公司”）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日；住所：浦东新区南汇新城镇芦潮港路</w:t>
      </w:r>
      <w:r>
        <w:rPr>
          <w:rFonts w:ascii="仿宋_GB2312" w:eastAsia="仿宋_GB2312" w:hAnsi="仿宋_GB2312" w:cs="仿宋_GB2312" w:hint="eastAsia"/>
          <w:sz w:val="32"/>
          <w:szCs w:val="32"/>
        </w:rPr>
        <w:t>1758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幢</w:t>
      </w:r>
      <w:r>
        <w:rPr>
          <w:rFonts w:ascii="仿宋_GB2312" w:eastAsia="仿宋_GB2312" w:hAnsi="仿宋_GB2312" w:cs="仿宋_GB2312" w:hint="eastAsia"/>
          <w:sz w:val="32"/>
          <w:szCs w:val="32"/>
        </w:rPr>
        <w:t>A-8670</w:t>
      </w:r>
      <w:r>
        <w:rPr>
          <w:rFonts w:ascii="仿宋_GB2312" w:eastAsia="仿宋_GB2312" w:hAnsi="仿宋_GB2312" w:cs="仿宋_GB2312" w:hint="eastAsia"/>
          <w:sz w:val="32"/>
          <w:szCs w:val="32"/>
        </w:rPr>
        <w:t>室；法定代表人：张建芳；业务范围：建材的销售，保洁服务，装卸服务、自有设备租赁（除金融租赁），土石方建设工程专业施工，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建筑装修装饰建设工程专业施工，预拌商品混凝土建设工程专业施工，钢结构建设工程专业施工。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平潭翔辉船务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有限公司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以下简称“翔辉公司”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日；住所：</w:t>
      </w:r>
      <w:r>
        <w:rPr>
          <w:rFonts w:ascii="仿宋_GB2312" w:eastAsia="仿宋_GB2312" w:hAnsi="仿宋_GB2312" w:cs="仿宋_GB2312"/>
          <w:sz w:val="32"/>
          <w:szCs w:val="32"/>
        </w:rPr>
        <w:t>平潭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县澳前镇豪香御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景名都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号楼</w:t>
      </w:r>
      <w:r>
        <w:rPr>
          <w:rFonts w:ascii="仿宋_GB2312" w:eastAsia="仿宋_GB2312" w:hAnsi="仿宋_GB2312" w:cs="仿宋_GB2312"/>
          <w:sz w:val="32"/>
          <w:szCs w:val="32"/>
        </w:rPr>
        <w:t>1802</w:t>
      </w:r>
      <w:r>
        <w:rPr>
          <w:rFonts w:ascii="仿宋_GB2312" w:eastAsia="仿宋_GB2312" w:hAnsi="仿宋_GB2312" w:cs="仿宋_GB2312" w:hint="eastAsia"/>
          <w:sz w:val="32"/>
          <w:szCs w:val="32"/>
        </w:rPr>
        <w:t>室；法定代表人：高玉钦；业务范围：</w:t>
      </w:r>
      <w:r>
        <w:rPr>
          <w:rFonts w:ascii="仿宋_GB2312" w:eastAsia="仿宋_GB2312" w:hAnsi="仿宋_GB2312" w:cs="仿宋_GB2312"/>
          <w:sz w:val="32"/>
          <w:szCs w:val="32"/>
        </w:rPr>
        <w:t>远洋货物运输，沿海货物运输，内河货物运输，货运港口货</w:t>
      </w:r>
      <w:r>
        <w:rPr>
          <w:rFonts w:ascii="仿宋_GB2312" w:eastAsia="仿宋_GB2312" w:hAnsi="仿宋_GB2312" w:cs="仿宋_GB2312"/>
          <w:sz w:val="32"/>
          <w:szCs w:val="32"/>
        </w:rPr>
        <w:t>物装卸、仓储服务，港口理货业务，船舶管理业务，码头及其他港口设施服务，船舶港口服务，港口拖轮、驳运服务，货物运输代理，港口设施、设备和港口机械的租赁业务，广告的设计、制作、代理、发布，商务信息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上海电气临港重型机械装备有限公司（以下简称“电气公司”）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日；住所：中国（上海）自由贸易试验区临港新片区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层林路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77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号；法定代表人：郑锦荣；业务范围：成品油零售（不含危险化学品），机械设备设计、制造、销售及技术服务，自有厂房、机械设备租赁，机械制造技术咨询，在港区内从事货物装卸、经营</w:t>
      </w:r>
      <w:r>
        <w:rPr>
          <w:rFonts w:ascii="仿宋_GB2312" w:eastAsia="仿宋_GB2312" w:hAnsi="仿宋_GB2312" w:cs="仿宋_GB2312" w:hint="eastAsia"/>
          <w:sz w:val="32"/>
          <w:szCs w:val="32"/>
        </w:rPr>
        <w:t>，国内贸易（除专项审批外），仓储（除危险品），货运代理服务，货物进出口，技术进出口，成品油批发（不含危险化学品）。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377D1" w:rsidRDefault="008C78E6">
      <w:pPr>
        <w:numPr>
          <w:ilvl w:val="0"/>
          <w:numId w:val="1"/>
        </w:num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事故相关单位合同关系情况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．电气公司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签订了《上海电气重件码头港口设备（码头）租赁合同》，合同有效期为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日止，双方约定电气公司将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层林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号的码头租赁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给环丽公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司用于砂石料装卸。电气公司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签订了《安全管理协议》，约定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层林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号码头区域的安全管理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司负责，协议有效期为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</w:t>
      </w:r>
    </w:p>
    <w:p w:rsidR="006377D1" w:rsidRDefault="008C78E6">
      <w:pPr>
        <w:ind w:firstLine="640"/>
        <w:rPr>
          <w:rFonts w:ascii="楷体_GB2312" w:eastAsia="仿宋_GB2312" w:hAnsi="楷体_GB2312" w:cs="楷体_GB2312"/>
          <w:b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</w:t>
      </w:r>
      <w:r>
        <w:rPr>
          <w:rFonts w:ascii="仿宋_GB2312" w:eastAsia="仿宋_GB2312" w:hAnsi="仿宋_GB2312" w:cs="仿宋_GB2312" w:hint="eastAsia"/>
          <w:sz w:val="32"/>
          <w:szCs w:val="32"/>
        </w:rPr>
        <w:t>司与翔辉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公司口头约定，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辉公司的兴隆盛号船舶定期为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环丽公司层林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号码头运送砂石料，码头区域砂石装卸吊运现场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司全面负责，现场作业人员的安全管理和教育培训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司负责。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（三）事故相关人员情况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朱秀林，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翔辉公司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员工，男，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56</w:t>
      </w:r>
      <w:r>
        <w:rPr>
          <w:rFonts w:ascii="仿宋_GB2312" w:eastAsia="仿宋_GB2312" w:hAnsi="仿宋_GB2312" w:cs="仿宋_GB2312" w:hint="eastAsia"/>
          <w:sz w:val="32"/>
          <w:szCs w:val="32"/>
        </w:rPr>
        <w:t>岁，身份证号：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350321196606247012</w:t>
      </w:r>
      <w:r>
        <w:rPr>
          <w:rFonts w:ascii="仿宋_GB2312" w:eastAsia="仿宋_GB2312" w:hAnsi="仿宋_GB2312" w:cs="仿宋_GB2312" w:hint="eastAsia"/>
          <w:sz w:val="32"/>
          <w:szCs w:val="32"/>
        </w:rPr>
        <w:t>。朱秀林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与翔辉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公司签订了《劳动合同》，为兴隆盛号船舶随船人员。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王德印，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码头吊驾驶员，男，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岁，身份证号：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513030198712124413</w:t>
      </w:r>
      <w:r>
        <w:rPr>
          <w:rFonts w:ascii="仿宋_GB2312" w:eastAsia="仿宋_GB2312" w:hAnsi="仿宋_GB2312" w:cs="仿宋_GB2312" w:hint="eastAsia"/>
          <w:sz w:val="32"/>
          <w:szCs w:val="32"/>
        </w:rPr>
        <w:t>。王德印于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日应聘入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职环丽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公司，岗位为码头吊驾驶员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层林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号码头开始作业，尚未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司签订劳动合同。王德印持有江苏省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宿迁市质量技术监督局颁发的</w:t>
      </w:r>
      <w:r>
        <w:rPr>
          <w:rFonts w:ascii="仿宋_GB2312" w:eastAsia="仿宋_GB2312" w:hAnsi="仿宋_GB2312" w:cs="仿宋_GB2312" w:hint="eastAsia"/>
          <w:sz w:val="32"/>
          <w:szCs w:val="32"/>
        </w:rPr>
        <w:t>Q6</w:t>
      </w:r>
      <w:r>
        <w:rPr>
          <w:rFonts w:ascii="仿宋_GB2312" w:eastAsia="仿宋_GB2312" w:hAnsi="仿宋_GB2312" w:cs="仿宋_GB2312" w:hint="eastAsia"/>
          <w:sz w:val="32"/>
          <w:szCs w:val="32"/>
        </w:rPr>
        <w:t>（流动式起重机司机）特种设备作业人员证，证书编号：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513030198712124413</w:t>
      </w:r>
      <w:r>
        <w:rPr>
          <w:rFonts w:ascii="仿宋_GB2312" w:eastAsia="仿宋_GB2312" w:hAnsi="仿宋_GB2312" w:cs="仿宋_GB2312" w:hint="eastAsia"/>
          <w:sz w:val="32"/>
          <w:szCs w:val="32"/>
        </w:rPr>
        <w:t>，有效期为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胡浩祯，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现场负责人和安全员，男，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岁，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330622196507225917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负责环丽公司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层林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号码头的现场管理。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任惠，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现场指挥，男，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51</w:t>
      </w:r>
      <w:r>
        <w:rPr>
          <w:rFonts w:ascii="仿宋_GB2312" w:eastAsia="仿宋_GB2312" w:hAnsi="仿宋_GB2312" w:cs="仿宋_GB2312" w:hint="eastAsia"/>
          <w:sz w:val="32"/>
          <w:szCs w:val="32"/>
        </w:rPr>
        <w:t>岁，身份证号：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320621197104223710</w:t>
      </w:r>
      <w:r>
        <w:rPr>
          <w:rFonts w:ascii="仿宋_GB2312" w:eastAsia="仿宋_GB2312" w:hAnsi="仿宋_GB2312" w:cs="仿宋_GB2312" w:hint="eastAsia"/>
          <w:sz w:val="32"/>
          <w:szCs w:val="32"/>
        </w:rPr>
        <w:t>，事发当天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负责环丽公司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砂石料装卸现场的作业指挥。</w:t>
      </w:r>
    </w:p>
    <w:p w:rsidR="006377D1" w:rsidRDefault="008C78E6">
      <w:pPr>
        <w:spacing w:line="60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二、事故发生经过和报告救援情况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（一）事故发生经过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时左右，在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环丽公司层林路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号的码头上，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司现场调度胡浩祯安排王德印等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名人员驾驶码头吊将位于码头东侧的兴隆盛号船舶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前后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仓的石子黄沙卸船，其中王德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印负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责前舱的卸船作业。胡浩祯安排了朱秀林等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名清舱人员在船上进行辅助，先进行后舱的卸船作业，任惠在前舱负责起重指挥。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分左右，朱秀林等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名清舱人员完成了后仓的工作，进入前舱准备开始辅助王德印进行清舱卸船作业，朱秀林沿着北侧舱壁自西向东行走，走到离中间隔</w:t>
      </w:r>
      <w:r>
        <w:rPr>
          <w:rFonts w:ascii="仿宋_GB2312" w:eastAsia="仿宋_GB2312" w:hAnsi="仿宋_GB2312" w:cs="仿宋_GB2312" w:hint="eastAsia"/>
          <w:sz w:val="32"/>
          <w:szCs w:val="32"/>
        </w:rPr>
        <w:t>板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米左右时，王德印驾驶起重机将空抓斗往下放，抓斗碰撞到朱秀林的左小腿，造成朱秀林受伤。其他清舱人员发现后，向王德印示警并要求升起抓斗。王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德印起升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抓斗后，现场人员将朱秀林抬到平坦处。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（二）报告和救援情况</w:t>
      </w:r>
    </w:p>
    <w:p w:rsidR="006377D1" w:rsidRDefault="008C78E6">
      <w:pPr>
        <w:ind w:firstLine="640"/>
        <w:rPr>
          <w:rFonts w:ascii="黑体" w:eastAsia="黑体" w:hAnsi="黑体" w:cs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事故发生后，兴隆盛号随船工作人员拨打了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时左右，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急救人员到达现场，将朱秀林送往上海市第六人民医院进行救治。</w:t>
      </w:r>
    </w:p>
    <w:p w:rsidR="006377D1" w:rsidRDefault="008C78E6">
      <w:pPr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三、勘查调查及鉴定情况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（一）现场勘察调查情况</w:t>
      </w:r>
    </w:p>
    <w:p w:rsidR="006377D1" w:rsidRDefault="008C78E6">
      <w:pPr>
        <w:pStyle w:val="1"/>
        <w:autoSpaceDE w:val="0"/>
        <w:autoSpaceDN w:val="0"/>
        <w:spacing w:after="0" w:line="276" w:lineRule="auto"/>
        <w:ind w:leftChars="218" w:left="458" w:firstLineChars="196" w:firstLine="627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事故现场为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临杭州湾建材装卸码头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由海堤路向南延伸出一条长约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米的干道（宽度为约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11.5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米）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干道南侧尽头建有东西向码头，干道西侧的码头设有两台固定式起重机，事故设备为东侧起重机，码头南侧为兴隆盛船。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现场示意图如下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377D1" w:rsidRDefault="008C78E6">
      <w:pPr>
        <w:jc w:val="center"/>
        <w:rPr>
          <w:sz w:val="24"/>
          <w:szCs w:val="32"/>
        </w:rPr>
      </w:pPr>
      <w:r>
        <w:rPr>
          <w:noProof/>
        </w:rPr>
        <w:drawing>
          <wp:inline distT="0" distB="0" distL="0" distR="0">
            <wp:extent cx="4591050" cy="2009775"/>
            <wp:effectExtent l="19050" t="0" r="0" b="0"/>
            <wp:docPr id="1" name="图片 5" descr="1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77D1" w:rsidRDefault="008C78E6">
      <w:pPr>
        <w:jc w:val="center"/>
        <w:rPr>
          <w:bCs/>
          <w:sz w:val="24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：事故现场示意图</w:t>
      </w:r>
    </w:p>
    <w:p w:rsidR="006377D1" w:rsidRDefault="008C78E6">
      <w:pPr>
        <w:jc w:val="center"/>
        <w:rPr>
          <w:sz w:val="24"/>
          <w:szCs w:val="32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w:drawing>
          <wp:inline distT="0" distB="0" distL="0" distR="0">
            <wp:extent cx="4819650" cy="2124075"/>
            <wp:effectExtent l="19050" t="0" r="0" b="0"/>
            <wp:docPr id="2" name="图片 10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24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D1" w:rsidRDefault="008C78E6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：事故现场照片</w:t>
      </w:r>
    </w:p>
    <w:p w:rsidR="006377D1" w:rsidRDefault="008C78E6">
      <w:pPr>
        <w:spacing w:line="276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、经现场勘查，结合现场作业人员询问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左右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，朱秀林等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清舱辅助人员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从船中部进入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前仓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天色已黑，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仓照明仅靠装在吊臂上往下的照明灯（见图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详见图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），照明区域有限，王德印未发现有人进入舱内。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辅助人员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进仓后，其中朱秀林沿着北侧舱壁往东行走，走到离中间隔板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米左右时，王德印正驾驶起重机将空抓斗往下放，由于船身遮挡形成视觉盲区，王德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印未能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发现朱秀林（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详见图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继续操作码头吊，最终导致朱秀林受伤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377D1" w:rsidRDefault="008C78E6">
      <w:pPr>
        <w:spacing w:line="276" w:lineRule="auto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w:drawing>
          <wp:inline distT="0" distB="0" distL="0" distR="0">
            <wp:extent cx="2047875" cy="2286000"/>
            <wp:effectExtent l="19050" t="0" r="9525" b="0"/>
            <wp:docPr id="3" name="图片 6" descr="C:\Users\admin\AppData\Local\Temp\WeChat Files\1209248b742762da19f9a21b7b7f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admin\AppData\Local\Temp\WeChat Files\1209248b742762da19f9a21b7b7f0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86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w:drawing>
          <wp:inline distT="0" distB="0" distL="0" distR="0">
            <wp:extent cx="2162175" cy="2286000"/>
            <wp:effectExtent l="19050" t="0" r="9525" b="0"/>
            <wp:docPr id="4" name="图片 8" descr="C:\Users\admin\AppData\Local\Temp\WeChat Files\716829e6181b9f6feee4235b9a79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C:\Users\admin\AppData\Local\Temp\WeChat Files\716829e6181b9f6feee4235b9a794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86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D1" w:rsidRDefault="008C78E6">
      <w:pPr>
        <w:spacing w:line="276" w:lineRule="auto"/>
        <w:ind w:firstLineChars="750" w:firstLine="24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3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</w:p>
    <w:p w:rsidR="006377D1" w:rsidRDefault="008C78E6">
      <w:pPr>
        <w:ind w:firstLine="640"/>
        <w:rPr>
          <w:sz w:val="24"/>
          <w:szCs w:val="32"/>
        </w:rPr>
      </w:pPr>
      <w:r>
        <w:rPr>
          <w:noProof/>
          <w:sz w:val="24"/>
          <w:szCs w:val="32"/>
        </w:rPr>
        <w:lastRenderedPageBreak/>
        <w:drawing>
          <wp:inline distT="0" distB="0" distL="0" distR="0">
            <wp:extent cx="4648200" cy="3819525"/>
            <wp:effectExtent l="19050" t="0" r="0" b="0"/>
            <wp:docPr id="5" name="图片 7" descr="C:\Users\admin\AppData\Local\Temp\WeChat Files\cf92135d5c21c13cd949b9990c1f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C:\Users\admin\AppData\Local\Temp\WeChat Files\cf92135d5c21c13cd949b9990c1fbe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81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D1" w:rsidRDefault="008C78E6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：事故现场侧视图</w:t>
      </w:r>
    </w:p>
    <w:p w:rsidR="006377D1" w:rsidRDefault="008C78E6">
      <w:pPr>
        <w:ind w:firstLine="64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（二）事故相关设备信息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发生</w:t>
      </w:r>
      <w:r>
        <w:rPr>
          <w:rFonts w:ascii="仿宋_GB2312" w:eastAsia="仿宋_GB2312" w:hAnsi="仿宋_GB2312" w:cs="仿宋_GB2312"/>
          <w:sz w:val="32"/>
          <w:szCs w:val="32"/>
        </w:rPr>
        <w:t>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设备为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固定式</w:t>
      </w:r>
      <w:r>
        <w:rPr>
          <w:rFonts w:ascii="仿宋_GB2312" w:eastAsia="仿宋_GB2312" w:hAnsi="仿宋_GB2312" w:cs="仿宋_GB2312"/>
          <w:sz w:val="32"/>
          <w:szCs w:val="32"/>
        </w:rPr>
        <w:t>起重机，型号为</w:t>
      </w:r>
      <w:r>
        <w:rPr>
          <w:rFonts w:ascii="仿宋_GB2312" w:eastAsia="仿宋_GB2312" w:hAnsi="仿宋_GB2312" w:cs="仿宋_GB2312" w:hint="eastAsia"/>
          <w:sz w:val="32"/>
          <w:szCs w:val="32"/>
        </w:rPr>
        <w:t>HGQ1627</w:t>
      </w:r>
      <w:r>
        <w:rPr>
          <w:rFonts w:ascii="仿宋_GB2312" w:eastAsia="仿宋_GB2312" w:hAnsi="仿宋_GB2312" w:cs="仿宋_GB2312" w:hint="eastAsia"/>
          <w:sz w:val="32"/>
          <w:szCs w:val="32"/>
        </w:rPr>
        <w:t>，制造单位为无锡市江南矿山机器制造有限公司，出厂编号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QJ1411-17.2</w:t>
      </w:r>
      <w:r>
        <w:rPr>
          <w:rFonts w:ascii="仿宋_GB2312" w:eastAsia="仿宋_GB2312" w:hAnsi="仿宋_GB2312" w:cs="仿宋_GB2312" w:hint="eastAsia"/>
          <w:sz w:val="32"/>
          <w:szCs w:val="32"/>
        </w:rPr>
        <w:t>，生产日期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月投入使用，</w:t>
      </w:r>
      <w:r>
        <w:rPr>
          <w:rFonts w:ascii="仿宋_GB2312" w:eastAsia="仿宋_GB2312" w:hAnsi="仿宋_GB2312" w:cs="仿宋_GB2312"/>
          <w:sz w:val="32"/>
          <w:szCs w:val="32"/>
        </w:rPr>
        <w:t>注册代码为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7603101152015040001</w:t>
      </w:r>
      <w:r>
        <w:rPr>
          <w:rFonts w:ascii="仿宋_GB2312" w:eastAsia="仿宋_GB2312" w:hAnsi="仿宋_GB2312" w:cs="仿宋_GB2312"/>
          <w:sz w:val="32"/>
          <w:szCs w:val="32"/>
        </w:rPr>
        <w:t>，额定起重量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/>
          <w:sz w:val="32"/>
          <w:szCs w:val="32"/>
        </w:rPr>
        <w:t>吨，起升高度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米，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下降深度</w:t>
      </w:r>
      <w:r>
        <w:rPr>
          <w:rFonts w:ascii="仿宋_GB2312" w:eastAsia="仿宋_GB2312" w:hAnsi="仿宋_GB2312" w:cs="仿宋_GB2312" w:hint="eastAsia"/>
          <w:sz w:val="32"/>
          <w:szCs w:val="32"/>
        </w:rPr>
        <w:t>-14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</w:t>
      </w:r>
      <w:r>
        <w:rPr>
          <w:rFonts w:ascii="仿宋_GB2312" w:eastAsia="仿宋_GB2312" w:hAnsi="仿宋_GB2312" w:cs="仿宋_GB2312"/>
          <w:sz w:val="32"/>
          <w:szCs w:val="32"/>
        </w:rPr>
        <w:t>起升速度</w:t>
      </w:r>
      <w:r>
        <w:rPr>
          <w:rFonts w:ascii="仿宋_GB2312" w:eastAsia="仿宋_GB2312" w:hAnsi="仿宋_GB2312" w:cs="仿宋_GB2312" w:hint="eastAsia"/>
          <w:sz w:val="32"/>
          <w:szCs w:val="32"/>
        </w:rPr>
        <w:t>58</w:t>
      </w:r>
      <w:r>
        <w:rPr>
          <w:rFonts w:ascii="仿宋_GB2312" w:eastAsia="仿宋_GB2312" w:hAnsi="仿宋_GB2312" w:cs="仿宋_GB2312"/>
          <w:sz w:val="32"/>
          <w:szCs w:val="32"/>
        </w:rPr>
        <w:t>米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sz w:val="32"/>
          <w:szCs w:val="32"/>
        </w:rPr>
        <w:t>变幅速度</w:t>
      </w:r>
      <w:r>
        <w:rPr>
          <w:rFonts w:ascii="仿宋_GB2312" w:eastAsia="仿宋_GB2312" w:hAnsi="仿宋_GB2312" w:cs="仿宋_GB2312" w:hint="eastAsia"/>
          <w:sz w:val="32"/>
          <w:szCs w:val="32"/>
        </w:rPr>
        <w:t>39.9</w:t>
      </w:r>
      <w:r>
        <w:rPr>
          <w:rFonts w:ascii="仿宋_GB2312" w:eastAsia="仿宋_GB2312" w:hAnsi="仿宋_GB2312" w:cs="仿宋_GB2312" w:hint="eastAsia"/>
          <w:sz w:val="32"/>
          <w:szCs w:val="32"/>
        </w:rPr>
        <w:t>米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分，幅度</w:t>
      </w:r>
      <w:r>
        <w:rPr>
          <w:rFonts w:ascii="仿宋_GB2312" w:eastAsia="仿宋_GB2312" w:hAnsi="仿宋_GB2312" w:cs="仿宋_GB2312" w:hint="eastAsia"/>
          <w:sz w:val="32"/>
          <w:szCs w:val="32"/>
        </w:rPr>
        <w:t>10-27</w:t>
      </w:r>
      <w:r>
        <w:rPr>
          <w:rFonts w:ascii="仿宋_GB2312" w:eastAsia="仿宋_GB2312" w:hAnsi="仿宋_GB2312" w:cs="仿宋_GB2312" w:hint="eastAsia"/>
          <w:sz w:val="32"/>
          <w:szCs w:val="32"/>
        </w:rPr>
        <w:t>米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吊具为抓斗，重约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吨，宽度</w:t>
      </w:r>
      <w:r>
        <w:rPr>
          <w:rFonts w:ascii="仿宋_GB2312" w:eastAsia="仿宋_GB2312" w:hAnsi="仿宋_GB2312" w:cs="仿宋_GB2312" w:hint="eastAsia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米，开口时长度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3.8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米，高度</w:t>
      </w: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米。</w:t>
      </w:r>
      <w:r>
        <w:rPr>
          <w:rFonts w:ascii="仿宋_GB2312" w:eastAsia="仿宋_GB2312" w:hAnsi="仿宋_GB2312" w:cs="仿宋_GB2312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</w:t>
      </w:r>
      <w:r>
        <w:rPr>
          <w:rFonts w:ascii="仿宋_GB2312" w:eastAsia="仿宋_GB2312" w:hAnsi="仿宋_GB2312" w:cs="仿宋_GB2312"/>
          <w:sz w:val="32"/>
          <w:szCs w:val="32"/>
        </w:rPr>
        <w:t>于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经上海市浦东新区特种设备监督检验所</w:t>
      </w:r>
      <w:r>
        <w:rPr>
          <w:rFonts w:ascii="仿宋_GB2312" w:eastAsia="仿宋_GB2312" w:hAnsi="仿宋_GB2312" w:cs="仿宋_GB2312"/>
          <w:sz w:val="32"/>
          <w:szCs w:val="32"/>
        </w:rPr>
        <w:t>检验，结论为合格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，检验有效期至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  <w:r>
        <w:rPr>
          <w:rFonts w:ascii="仿宋_GB2312" w:eastAsia="仿宋_GB2312" w:hAnsi="仿宋_GB2312" w:cs="仿宋_GB2312"/>
          <w:sz w:val="32"/>
          <w:szCs w:val="32"/>
        </w:rPr>
        <w:t>事发</w:t>
      </w:r>
      <w:r>
        <w:rPr>
          <w:rFonts w:ascii="仿宋_GB2312" w:eastAsia="仿宋_GB2312" w:hAnsi="仿宋_GB2312" w:cs="仿宋_GB2312" w:hint="eastAsia"/>
          <w:sz w:val="32"/>
          <w:szCs w:val="32"/>
        </w:rPr>
        <w:t>后对</w:t>
      </w:r>
      <w:r>
        <w:rPr>
          <w:rFonts w:ascii="仿宋_GB2312" w:eastAsia="仿宋_GB2312" w:hAnsi="仿宋_GB2312" w:cs="仿宋_GB2312"/>
          <w:sz w:val="32"/>
          <w:szCs w:val="32"/>
        </w:rPr>
        <w:t>起重机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/>
          <w:sz w:val="32"/>
          <w:szCs w:val="32"/>
        </w:rPr>
        <w:t>勘</w:t>
      </w:r>
      <w:r>
        <w:rPr>
          <w:rFonts w:ascii="仿宋_GB2312" w:eastAsia="仿宋_GB2312" w:hAnsi="仿宋_GB2312" w:cs="仿宋_GB2312" w:hint="eastAsia"/>
          <w:sz w:val="32"/>
          <w:szCs w:val="32"/>
        </w:rPr>
        <w:t>查</w:t>
      </w:r>
      <w:r>
        <w:rPr>
          <w:rFonts w:ascii="仿宋_GB2312" w:eastAsia="仿宋_GB2312" w:hAnsi="仿宋_GB2312" w:cs="仿宋_GB2312"/>
          <w:sz w:val="32"/>
          <w:szCs w:val="32"/>
        </w:rPr>
        <w:t>，该设备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起升、变幅、回转机构运行平稳，制动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装置适宜有效，各电气保护装置可靠，电铃报警装置有效，没有发现存在与事故发生相关联的隐患。（详见图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，图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377D1" w:rsidRDefault="008C78E6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2028825" cy="2390775"/>
            <wp:effectExtent l="19050" t="0" r="9525" b="0"/>
            <wp:docPr id="6" name="图片 1" descr="C:\Users\admin\AppData\Local\Temp\WeChat Files\989b7f22a32fe02ab3b764058f83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\AppData\Local\Temp\WeChat Files\989b7f22a32fe02ab3b764058f8361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2047875" cy="2400300"/>
            <wp:effectExtent l="19050" t="0" r="9525" b="0"/>
            <wp:docPr id="7" name="图片 2" descr="C:\Users\admin\AppData\Local\Temp\WeChat Files\4d5e8071e824870be4308c3936be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\AppData\Local\Temp\WeChat Files\4d5e8071e824870be4308c3936bef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400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D1" w:rsidRDefault="008C78E6">
      <w:pPr>
        <w:ind w:firstLineChars="750" w:firstLine="2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（三）伤者鉴定情况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朱秀林于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日出院，上海市第六人民医院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小结的</w:t>
      </w:r>
      <w:r>
        <w:rPr>
          <w:rFonts w:ascii="仿宋_GB2312" w:eastAsia="仿宋_GB2312" w:hAnsi="仿宋_GB2312" w:cs="仿宋_GB2312" w:hint="eastAsia"/>
          <w:sz w:val="32"/>
          <w:szCs w:val="32"/>
        </w:rPr>
        <w:t>出院诊断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：朱秀林骨盆骨折、骶骨骨折、左开放性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腓骨干骨折、左跖骨骨折，构成重伤。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（四）安全管理情况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建立了《安全生产管理制度》、《吊机安全操作规程和制度》、《吊装作业指导书》等管理制度和操作规范。《吊装作业指导书》第</w:t>
      </w:r>
      <w:r>
        <w:rPr>
          <w:rFonts w:ascii="仿宋_GB2312" w:eastAsia="仿宋_GB2312" w:hAnsi="仿宋_GB2312" w:cs="仿宋_GB2312" w:hint="eastAsia"/>
          <w:sz w:val="32"/>
          <w:szCs w:val="32"/>
        </w:rPr>
        <w:t>3.2.6</w:t>
      </w:r>
      <w:r>
        <w:rPr>
          <w:rFonts w:ascii="仿宋_GB2312" w:eastAsia="仿宋_GB2312" w:hAnsi="仿宋_GB2312" w:cs="仿宋_GB2312" w:hint="eastAsia"/>
          <w:sz w:val="32"/>
          <w:szCs w:val="32"/>
        </w:rPr>
        <w:t>条规定：“作业时必须听从码头指挥人员调度指挥，无指挥信号，禁止作业和跑大车；操作中发现可疑情况或停车信号必须立即停车”，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王德印在无指挥信号且无法确认作业环境安全的情况下，继续操作码头吊吊运砂石。《吊装作业指导书》第</w:t>
      </w:r>
      <w:r>
        <w:rPr>
          <w:rFonts w:ascii="仿宋_GB2312" w:eastAsia="仿宋_GB2312" w:hAnsi="仿宋_GB2312" w:cs="仿宋_GB2312" w:hint="eastAsia"/>
          <w:sz w:val="32"/>
          <w:szCs w:val="32"/>
        </w:rPr>
        <w:t>3.2.9</w:t>
      </w:r>
      <w:r>
        <w:rPr>
          <w:rFonts w:ascii="仿宋_GB2312" w:eastAsia="仿宋_GB2312" w:hAnsi="仿宋_GB2312" w:cs="仿宋_GB2312" w:hint="eastAsia"/>
          <w:sz w:val="32"/>
          <w:szCs w:val="32"/>
        </w:rPr>
        <w:t>条规定：“如有清舱作业，在确认吊机无作业的情况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下进行，安排现场监护人员监管督促作业安全”，任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惠作为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现场监护人员未能及时发现和制止王德印的违规作业行为，未能及时发现并劝止朱秀林进入危险区域。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对现场人员的安全教育培训和安全交底不到位，对于公司《吊装作业指导书》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落实不力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对码头吊作业现场安全管理不到位。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电气公司定期对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环丽公司层林路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号砂石装卸码头进行安全检查，履行了安全生产职责。</w:t>
      </w:r>
    </w:p>
    <w:p w:rsidR="006377D1" w:rsidRDefault="008C78E6">
      <w:pPr>
        <w:numPr>
          <w:ilvl w:val="0"/>
          <w:numId w:val="2"/>
        </w:num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相关人员询问情况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事发时，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层林路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号码头的砂石料装卸作业现场安全管理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司全面负责，胡浩祯系装卸作业现场负责人，负责现场管理和对现场作业人员的安全教育培训；码头的作业现场指挥和安全监护由任惠负责。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对王德印和任惠进行了安全教育培训，明确告知了其相关的安全管理制度。</w:t>
      </w:r>
    </w:p>
    <w:p w:rsidR="006377D1" w:rsidRDefault="008C78E6">
      <w:pPr>
        <w:spacing w:line="60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四、人员伤亡和直接经济损失情况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（一）受伤人员情况</w:t>
      </w:r>
    </w:p>
    <w:p w:rsidR="006377D1" w:rsidRDefault="008C78E6">
      <w:pPr>
        <w:ind w:firstLineChars="162" w:firstLine="518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56</w:t>
      </w:r>
      <w:r>
        <w:rPr>
          <w:rFonts w:ascii="仿宋_GB2312" w:eastAsia="仿宋_GB2312" w:hAnsi="仿宋_GB2312" w:cs="仿宋_GB2312" w:hint="eastAsia"/>
          <w:sz w:val="32"/>
          <w:szCs w:val="32"/>
        </w:rPr>
        <w:t>岁，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翔辉公司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员工，事发时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为环丽公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司砂石料装卸现场辅助清舱人员。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（二）事故直接经济损失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事故造成直接经济损失约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47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万元（仅计算前期治疗费用）。</w:t>
      </w:r>
    </w:p>
    <w:p w:rsidR="006377D1" w:rsidRDefault="008C78E6">
      <w:pPr>
        <w:spacing w:line="60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五、事故发生原因</w:t>
      </w:r>
      <w:r>
        <w:rPr>
          <w:rFonts w:ascii="黑体" w:eastAsia="黑体" w:hAnsi="黑体" w:cs="黑体" w:hint="eastAsia"/>
          <w:b/>
          <w:sz w:val="32"/>
          <w:szCs w:val="32"/>
        </w:rPr>
        <w:t>和事故性质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（一）事故发生的原因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．直接原因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王德印，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码头吊驾驶员，在无指挥信号且无法确认作业环境安全的情况下，继续操作码头吊吊运砂石，抓斗在运行过程中碰撞到位于王德印视线盲区的朱秀林，导致朱秀林重伤。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间接原因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，对现场人员的安全教育培训和安全交底不到位，对于公司《吊装作业指导书》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落实不力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，砂石吊装作业现场安全管理不到位，未能及时发现和制止王德印的违规作业行为，现场监护人员未能及时发现并劝止朱秀林进入危险区域，导致事故发生。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（二）事故性质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事故调查组认定“</w:t>
      </w:r>
      <w:r>
        <w:rPr>
          <w:rFonts w:ascii="仿宋_GB2312" w:eastAsia="仿宋_GB2312" w:hAnsi="仿宋_GB2312" w:cs="仿宋_GB2312" w:hint="eastAsia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”事故是一起一般等级的生产安全责任事故。</w:t>
      </w:r>
    </w:p>
    <w:p w:rsidR="006377D1" w:rsidRDefault="008C78E6">
      <w:pPr>
        <w:spacing w:line="60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六、事故责任的认定和处理建议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（一）对事故责任人的认定和处理意见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王德印，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码头吊驾驶员，</w:t>
      </w:r>
      <w:r>
        <w:rPr>
          <w:rFonts w:ascii="仿宋_GB2312" w:eastAsia="仿宋_GB2312" w:hAnsi="仿宋_GB2312" w:cs="仿宋_GB2312" w:hint="eastAsia"/>
          <w:sz w:val="32"/>
          <w:szCs w:val="32"/>
        </w:rPr>
        <w:t>违章进行起吊作业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，碰撞到位于视线盲区的朱秀林，导致其重伤。对事故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的发生负有责任，建议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区应急管理局依法给予行政处罚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任惠，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现场指挥监护人员，现场监护不到位，未能及时发现和制止王德印的违规作业行为，未能及时发现并劝止朱秀林等人员进入危险区域。对事故发生负有责任，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建议环丽公司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按照企业内部规定进行处理。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胡浩祯，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现场负责人，对现场人员的作业现场安全交底和安全教育培训不到位，对公司的作业现场管理不到位，对事故发生负有责任，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建议环丽公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司按照企业内部规定进行处理。</w:t>
      </w:r>
    </w:p>
    <w:p w:rsidR="006377D1" w:rsidRDefault="008C78E6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（二）对事故责任单位的认定和处理意见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，对现场人员安全教育培训和安全交底不到位，《吊装作业指导书》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落实不力，对码头吊作业现场安全管理不到位，未能及时发现和制止王德印的违规作业行为，未能及时发现并劝止朱秀林等辅助人员进入危险区域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对事故的发生负有责任，建议浦东新区市场监督管理局依法给予行政处罚。</w:t>
      </w:r>
    </w:p>
    <w:p w:rsidR="006377D1" w:rsidRDefault="008C78E6">
      <w:pPr>
        <w:ind w:firstLine="64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七、事故防范和整改建议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环丽公</w:t>
      </w:r>
      <w:r>
        <w:rPr>
          <w:rFonts w:ascii="仿宋_GB2312" w:eastAsia="仿宋_GB2312" w:hAnsi="仿宋_GB2312" w:cs="仿宋_GB2312" w:hint="eastAsia"/>
          <w:sz w:val="32"/>
          <w:szCs w:val="32"/>
        </w:rPr>
        <w:t>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要进一步强化各类安全管理制度的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执行，员工必须严格按照公司相关制度和规范开展作业；加强从业人员安全教育培训和安全交底，结合培训、教育、监督和</w:t>
      </w:r>
      <w:r>
        <w:rPr>
          <w:rFonts w:ascii="仿宋_GB2312" w:eastAsia="仿宋_GB2312" w:hAnsi="仿宋_GB2312" w:cs="仿宋_GB2312" w:hint="eastAsia"/>
          <w:sz w:val="32"/>
          <w:szCs w:val="32"/>
        </w:rPr>
        <w:t>奖惩</w:t>
      </w:r>
      <w:r>
        <w:rPr>
          <w:rFonts w:ascii="仿宋_GB2312" w:eastAsia="仿宋_GB2312" w:hAnsi="仿宋_GB2312" w:cs="仿宋_GB2312" w:hint="eastAsia"/>
          <w:sz w:val="32"/>
          <w:szCs w:val="32"/>
        </w:rPr>
        <w:t>等多种手段，提高教育培训实效，提高员工的安全意识；强化作业现场安全管理，对作业现场的违章行为要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及时发现、及时制止，对码头吊作业区这类高风险区域要加强巡查频次和力度，杜绝各类违章行为和类似事故发生。</w:t>
      </w:r>
    </w:p>
    <w:p w:rsidR="006377D1" w:rsidRDefault="006377D1">
      <w:pPr>
        <w:ind w:firstLine="640"/>
        <w:jc w:val="righ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6377D1" w:rsidRDefault="006377D1">
      <w:pPr>
        <w:ind w:firstLine="640"/>
        <w:jc w:val="righ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6377D1" w:rsidRDefault="008C78E6">
      <w:pPr>
        <w:ind w:firstLineChars="500" w:firstLine="16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起重伤害</w:t>
      </w:r>
      <w:r>
        <w:rPr>
          <w:rFonts w:ascii="仿宋_GB2312" w:eastAsia="仿宋_GB2312" w:hAnsi="仿宋_GB2312" w:cs="仿宋_GB2312" w:hint="eastAsia"/>
          <w:sz w:val="32"/>
          <w:szCs w:val="32"/>
        </w:rPr>
        <w:t>重伤</w:t>
      </w:r>
      <w:r>
        <w:rPr>
          <w:rFonts w:ascii="仿宋_GB2312" w:eastAsia="仿宋_GB2312" w:hAnsi="仿宋_GB2312" w:cs="仿宋_GB2312" w:hint="eastAsia"/>
          <w:sz w:val="32"/>
          <w:szCs w:val="32"/>
        </w:rPr>
        <w:t>事故调查组</w:t>
      </w:r>
    </w:p>
    <w:p w:rsidR="006377D1" w:rsidRDefault="008C78E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377D1"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78E6">
      <w:r>
        <w:separator/>
      </w:r>
    </w:p>
  </w:endnote>
  <w:endnote w:type="continuationSeparator" w:id="0">
    <w:p w:rsidR="00000000" w:rsidRDefault="008C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D1" w:rsidRDefault="008C78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 w:rsidR="006377D1" w:rsidRDefault="006377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C78E6">
      <w:r>
        <w:separator/>
      </w:r>
    </w:p>
  </w:footnote>
  <w:footnote w:type="continuationSeparator" w:id="0">
    <w:p w:rsidR="00000000" w:rsidRDefault="008C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55844B"/>
    <w:multiLevelType w:val="singleLevel"/>
    <w:tmpl w:val="9555844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D07A2DD"/>
    <w:multiLevelType w:val="singleLevel"/>
    <w:tmpl w:val="ED07A2D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dlNGM3NjYzNzk3YzA1OWQ5NDYyNTQ4M2U2ZWNiZDgifQ=="/>
  </w:docVars>
  <w:rsids>
    <w:rsidRoot w:val="007F1BB8"/>
    <w:rsid w:val="F77FAC76"/>
    <w:rsid w:val="FE714083"/>
    <w:rsid w:val="000008BA"/>
    <w:rsid w:val="00001D28"/>
    <w:rsid w:val="00006A12"/>
    <w:rsid w:val="000112CB"/>
    <w:rsid w:val="00014975"/>
    <w:rsid w:val="000158DB"/>
    <w:rsid w:val="00015B69"/>
    <w:rsid w:val="000215F2"/>
    <w:rsid w:val="00030AC4"/>
    <w:rsid w:val="00030F92"/>
    <w:rsid w:val="000339EB"/>
    <w:rsid w:val="00034236"/>
    <w:rsid w:val="00037C07"/>
    <w:rsid w:val="00051FE8"/>
    <w:rsid w:val="0005331A"/>
    <w:rsid w:val="00060794"/>
    <w:rsid w:val="00080162"/>
    <w:rsid w:val="000818B2"/>
    <w:rsid w:val="00084C1E"/>
    <w:rsid w:val="000B6585"/>
    <w:rsid w:val="000C20D6"/>
    <w:rsid w:val="000C22EE"/>
    <w:rsid w:val="000C402D"/>
    <w:rsid w:val="000D32C5"/>
    <w:rsid w:val="000E2D1C"/>
    <w:rsid w:val="000E6BCB"/>
    <w:rsid w:val="000F5EDC"/>
    <w:rsid w:val="000F615D"/>
    <w:rsid w:val="00110A5F"/>
    <w:rsid w:val="00121C79"/>
    <w:rsid w:val="00131430"/>
    <w:rsid w:val="001317D8"/>
    <w:rsid w:val="00140298"/>
    <w:rsid w:val="001419CE"/>
    <w:rsid w:val="0014255B"/>
    <w:rsid w:val="00142D36"/>
    <w:rsid w:val="00152B3C"/>
    <w:rsid w:val="001532F5"/>
    <w:rsid w:val="00161C88"/>
    <w:rsid w:val="00163C1E"/>
    <w:rsid w:val="00177EEE"/>
    <w:rsid w:val="0019522A"/>
    <w:rsid w:val="001B2561"/>
    <w:rsid w:val="001B59CC"/>
    <w:rsid w:val="001D2CC7"/>
    <w:rsid w:val="001E4445"/>
    <w:rsid w:val="001E72CD"/>
    <w:rsid w:val="0020430A"/>
    <w:rsid w:val="00215394"/>
    <w:rsid w:val="002168EA"/>
    <w:rsid w:val="00235F9B"/>
    <w:rsid w:val="00244A3A"/>
    <w:rsid w:val="002503E9"/>
    <w:rsid w:val="00250A51"/>
    <w:rsid w:val="00253AF0"/>
    <w:rsid w:val="00260EC5"/>
    <w:rsid w:val="002636DD"/>
    <w:rsid w:val="002724DF"/>
    <w:rsid w:val="002807B5"/>
    <w:rsid w:val="00284A5C"/>
    <w:rsid w:val="0028781D"/>
    <w:rsid w:val="00292F06"/>
    <w:rsid w:val="002943A3"/>
    <w:rsid w:val="002A6533"/>
    <w:rsid w:val="002A70EE"/>
    <w:rsid w:val="002C7BE0"/>
    <w:rsid w:val="002D0D3B"/>
    <w:rsid w:val="002E0AA1"/>
    <w:rsid w:val="002F53E1"/>
    <w:rsid w:val="002F6F7F"/>
    <w:rsid w:val="003001ED"/>
    <w:rsid w:val="00341DB1"/>
    <w:rsid w:val="00362A9D"/>
    <w:rsid w:val="0036673B"/>
    <w:rsid w:val="00366E7E"/>
    <w:rsid w:val="00376893"/>
    <w:rsid w:val="00376D58"/>
    <w:rsid w:val="00386FB2"/>
    <w:rsid w:val="003938BE"/>
    <w:rsid w:val="00397313"/>
    <w:rsid w:val="00397B49"/>
    <w:rsid w:val="003A6479"/>
    <w:rsid w:val="003A6917"/>
    <w:rsid w:val="003B1A0E"/>
    <w:rsid w:val="003B283E"/>
    <w:rsid w:val="003B525F"/>
    <w:rsid w:val="003D19C3"/>
    <w:rsid w:val="003E5BA1"/>
    <w:rsid w:val="003F14ED"/>
    <w:rsid w:val="003F496B"/>
    <w:rsid w:val="00402D07"/>
    <w:rsid w:val="004130EB"/>
    <w:rsid w:val="00420DC7"/>
    <w:rsid w:val="00444440"/>
    <w:rsid w:val="00444CE6"/>
    <w:rsid w:val="00447243"/>
    <w:rsid w:val="00453B23"/>
    <w:rsid w:val="00463273"/>
    <w:rsid w:val="0046611C"/>
    <w:rsid w:val="00474F00"/>
    <w:rsid w:val="00477BA9"/>
    <w:rsid w:val="00492615"/>
    <w:rsid w:val="00497B0C"/>
    <w:rsid w:val="004C0FE6"/>
    <w:rsid w:val="004D1DBB"/>
    <w:rsid w:val="004D37AB"/>
    <w:rsid w:val="004E667C"/>
    <w:rsid w:val="004F11DA"/>
    <w:rsid w:val="00501AD1"/>
    <w:rsid w:val="0050386E"/>
    <w:rsid w:val="00505FE5"/>
    <w:rsid w:val="00507DE2"/>
    <w:rsid w:val="00511CAF"/>
    <w:rsid w:val="00512698"/>
    <w:rsid w:val="00534E8F"/>
    <w:rsid w:val="005376B1"/>
    <w:rsid w:val="005427E8"/>
    <w:rsid w:val="00547AF1"/>
    <w:rsid w:val="00562935"/>
    <w:rsid w:val="0058349E"/>
    <w:rsid w:val="005B7B74"/>
    <w:rsid w:val="005D17E8"/>
    <w:rsid w:val="005E569B"/>
    <w:rsid w:val="005E6328"/>
    <w:rsid w:val="005F3EB7"/>
    <w:rsid w:val="005F6542"/>
    <w:rsid w:val="006048CE"/>
    <w:rsid w:val="00605BB2"/>
    <w:rsid w:val="00610ECB"/>
    <w:rsid w:val="00613D9B"/>
    <w:rsid w:val="006314C5"/>
    <w:rsid w:val="00632718"/>
    <w:rsid w:val="00635856"/>
    <w:rsid w:val="006377D1"/>
    <w:rsid w:val="00647C54"/>
    <w:rsid w:val="00656926"/>
    <w:rsid w:val="00671654"/>
    <w:rsid w:val="006722D2"/>
    <w:rsid w:val="00673420"/>
    <w:rsid w:val="00673982"/>
    <w:rsid w:val="00676105"/>
    <w:rsid w:val="006808BC"/>
    <w:rsid w:val="00684922"/>
    <w:rsid w:val="006A156E"/>
    <w:rsid w:val="006B6ED2"/>
    <w:rsid w:val="006C74E7"/>
    <w:rsid w:val="006E09B7"/>
    <w:rsid w:val="006F422C"/>
    <w:rsid w:val="00702906"/>
    <w:rsid w:val="00703680"/>
    <w:rsid w:val="00704C95"/>
    <w:rsid w:val="007202CA"/>
    <w:rsid w:val="007208D0"/>
    <w:rsid w:val="00722C37"/>
    <w:rsid w:val="0072376C"/>
    <w:rsid w:val="00735F9F"/>
    <w:rsid w:val="00743168"/>
    <w:rsid w:val="00744D99"/>
    <w:rsid w:val="00753C75"/>
    <w:rsid w:val="0076183D"/>
    <w:rsid w:val="00772D45"/>
    <w:rsid w:val="00782CA2"/>
    <w:rsid w:val="00782D69"/>
    <w:rsid w:val="00783DFB"/>
    <w:rsid w:val="0078559A"/>
    <w:rsid w:val="00787779"/>
    <w:rsid w:val="00797E78"/>
    <w:rsid w:val="007A41BE"/>
    <w:rsid w:val="007A5DA5"/>
    <w:rsid w:val="007B5AC7"/>
    <w:rsid w:val="007C1C96"/>
    <w:rsid w:val="007D0546"/>
    <w:rsid w:val="007D3AC9"/>
    <w:rsid w:val="007D66AF"/>
    <w:rsid w:val="007D66BC"/>
    <w:rsid w:val="007E064C"/>
    <w:rsid w:val="007E0F14"/>
    <w:rsid w:val="007E22CF"/>
    <w:rsid w:val="007E6CB1"/>
    <w:rsid w:val="007F13EE"/>
    <w:rsid w:val="007F1BB8"/>
    <w:rsid w:val="007F1DD0"/>
    <w:rsid w:val="007F537D"/>
    <w:rsid w:val="007F619E"/>
    <w:rsid w:val="007F77BA"/>
    <w:rsid w:val="008037CE"/>
    <w:rsid w:val="008074EF"/>
    <w:rsid w:val="0084229C"/>
    <w:rsid w:val="008450A4"/>
    <w:rsid w:val="0085007F"/>
    <w:rsid w:val="00851080"/>
    <w:rsid w:val="008527A3"/>
    <w:rsid w:val="00852974"/>
    <w:rsid w:val="00853CEB"/>
    <w:rsid w:val="0085696D"/>
    <w:rsid w:val="0086520D"/>
    <w:rsid w:val="00896899"/>
    <w:rsid w:val="008B0DDA"/>
    <w:rsid w:val="008B2734"/>
    <w:rsid w:val="008B2D8F"/>
    <w:rsid w:val="008C2FCE"/>
    <w:rsid w:val="008C6D81"/>
    <w:rsid w:val="008C78E6"/>
    <w:rsid w:val="008E7169"/>
    <w:rsid w:val="008E72C9"/>
    <w:rsid w:val="009012DC"/>
    <w:rsid w:val="00902376"/>
    <w:rsid w:val="00916927"/>
    <w:rsid w:val="00925905"/>
    <w:rsid w:val="00927930"/>
    <w:rsid w:val="00936DE6"/>
    <w:rsid w:val="00965838"/>
    <w:rsid w:val="00967904"/>
    <w:rsid w:val="009728D0"/>
    <w:rsid w:val="00975E86"/>
    <w:rsid w:val="00980C4E"/>
    <w:rsid w:val="00983757"/>
    <w:rsid w:val="009A049F"/>
    <w:rsid w:val="009A2445"/>
    <w:rsid w:val="009A7059"/>
    <w:rsid w:val="009B0402"/>
    <w:rsid w:val="009B78DB"/>
    <w:rsid w:val="009C61EA"/>
    <w:rsid w:val="009C6290"/>
    <w:rsid w:val="009D16CD"/>
    <w:rsid w:val="009D1A3A"/>
    <w:rsid w:val="009D23EC"/>
    <w:rsid w:val="009E1B7C"/>
    <w:rsid w:val="009E23D8"/>
    <w:rsid w:val="009E70EC"/>
    <w:rsid w:val="009F1364"/>
    <w:rsid w:val="00A120F8"/>
    <w:rsid w:val="00A16ABB"/>
    <w:rsid w:val="00A2140A"/>
    <w:rsid w:val="00A24DD3"/>
    <w:rsid w:val="00A33F5B"/>
    <w:rsid w:val="00A4035F"/>
    <w:rsid w:val="00A45766"/>
    <w:rsid w:val="00A45789"/>
    <w:rsid w:val="00A45A02"/>
    <w:rsid w:val="00A60423"/>
    <w:rsid w:val="00A64294"/>
    <w:rsid w:val="00A66BBA"/>
    <w:rsid w:val="00A73734"/>
    <w:rsid w:val="00A9148B"/>
    <w:rsid w:val="00A96FE4"/>
    <w:rsid w:val="00AA07A0"/>
    <w:rsid w:val="00AA23D7"/>
    <w:rsid w:val="00AA6F8D"/>
    <w:rsid w:val="00AA7B71"/>
    <w:rsid w:val="00AB0D1B"/>
    <w:rsid w:val="00AC553F"/>
    <w:rsid w:val="00AD0B4E"/>
    <w:rsid w:val="00AD2FCD"/>
    <w:rsid w:val="00AD7434"/>
    <w:rsid w:val="00AE422F"/>
    <w:rsid w:val="00AF0AD5"/>
    <w:rsid w:val="00AF1284"/>
    <w:rsid w:val="00B033BD"/>
    <w:rsid w:val="00B07082"/>
    <w:rsid w:val="00B075C8"/>
    <w:rsid w:val="00B1108D"/>
    <w:rsid w:val="00B11527"/>
    <w:rsid w:val="00B15266"/>
    <w:rsid w:val="00B239DE"/>
    <w:rsid w:val="00B241F0"/>
    <w:rsid w:val="00B2463D"/>
    <w:rsid w:val="00B24AFA"/>
    <w:rsid w:val="00B26F8A"/>
    <w:rsid w:val="00B30288"/>
    <w:rsid w:val="00B31B40"/>
    <w:rsid w:val="00B34A5B"/>
    <w:rsid w:val="00B44FB8"/>
    <w:rsid w:val="00B638E2"/>
    <w:rsid w:val="00B657C9"/>
    <w:rsid w:val="00B7293B"/>
    <w:rsid w:val="00B72FB6"/>
    <w:rsid w:val="00B7480E"/>
    <w:rsid w:val="00B80023"/>
    <w:rsid w:val="00B802C3"/>
    <w:rsid w:val="00B901CA"/>
    <w:rsid w:val="00B97C9D"/>
    <w:rsid w:val="00BA7720"/>
    <w:rsid w:val="00BB6C29"/>
    <w:rsid w:val="00BD3CB8"/>
    <w:rsid w:val="00BD4072"/>
    <w:rsid w:val="00BD7922"/>
    <w:rsid w:val="00BF6E2C"/>
    <w:rsid w:val="00C00DC4"/>
    <w:rsid w:val="00C04EA2"/>
    <w:rsid w:val="00C115AC"/>
    <w:rsid w:val="00C21014"/>
    <w:rsid w:val="00C23288"/>
    <w:rsid w:val="00C25A39"/>
    <w:rsid w:val="00C26092"/>
    <w:rsid w:val="00C35A7F"/>
    <w:rsid w:val="00C40176"/>
    <w:rsid w:val="00C407E0"/>
    <w:rsid w:val="00C44630"/>
    <w:rsid w:val="00C44D46"/>
    <w:rsid w:val="00C45A07"/>
    <w:rsid w:val="00C71106"/>
    <w:rsid w:val="00C72E34"/>
    <w:rsid w:val="00C73B8A"/>
    <w:rsid w:val="00C816FB"/>
    <w:rsid w:val="00C92576"/>
    <w:rsid w:val="00CA18F0"/>
    <w:rsid w:val="00CA1C4D"/>
    <w:rsid w:val="00CA551F"/>
    <w:rsid w:val="00CA77F0"/>
    <w:rsid w:val="00CC5CCB"/>
    <w:rsid w:val="00CC64D1"/>
    <w:rsid w:val="00CD4C9F"/>
    <w:rsid w:val="00CE4F1B"/>
    <w:rsid w:val="00CF799B"/>
    <w:rsid w:val="00D15C1E"/>
    <w:rsid w:val="00D24956"/>
    <w:rsid w:val="00D35EDA"/>
    <w:rsid w:val="00D37EF3"/>
    <w:rsid w:val="00D43632"/>
    <w:rsid w:val="00D51914"/>
    <w:rsid w:val="00D633AE"/>
    <w:rsid w:val="00D74844"/>
    <w:rsid w:val="00D91364"/>
    <w:rsid w:val="00D97B45"/>
    <w:rsid w:val="00DC4FCA"/>
    <w:rsid w:val="00DC71DC"/>
    <w:rsid w:val="00DE3264"/>
    <w:rsid w:val="00DF154E"/>
    <w:rsid w:val="00DF631D"/>
    <w:rsid w:val="00E03027"/>
    <w:rsid w:val="00E04736"/>
    <w:rsid w:val="00E13153"/>
    <w:rsid w:val="00E235B1"/>
    <w:rsid w:val="00E341FA"/>
    <w:rsid w:val="00E35650"/>
    <w:rsid w:val="00E43C01"/>
    <w:rsid w:val="00E57549"/>
    <w:rsid w:val="00E575B1"/>
    <w:rsid w:val="00E865D7"/>
    <w:rsid w:val="00E91B82"/>
    <w:rsid w:val="00E92D3B"/>
    <w:rsid w:val="00E93DE1"/>
    <w:rsid w:val="00E952E3"/>
    <w:rsid w:val="00EA06BC"/>
    <w:rsid w:val="00EB0CB1"/>
    <w:rsid w:val="00EC3907"/>
    <w:rsid w:val="00EE3C9A"/>
    <w:rsid w:val="00F01818"/>
    <w:rsid w:val="00F07F1B"/>
    <w:rsid w:val="00F10D4C"/>
    <w:rsid w:val="00F21272"/>
    <w:rsid w:val="00F319E0"/>
    <w:rsid w:val="00F326F0"/>
    <w:rsid w:val="00F351C2"/>
    <w:rsid w:val="00F42BD5"/>
    <w:rsid w:val="00F64F94"/>
    <w:rsid w:val="00F65B68"/>
    <w:rsid w:val="00F7624E"/>
    <w:rsid w:val="00F7694B"/>
    <w:rsid w:val="00F77F58"/>
    <w:rsid w:val="00F81335"/>
    <w:rsid w:val="00F83C3F"/>
    <w:rsid w:val="00F86560"/>
    <w:rsid w:val="00F90F25"/>
    <w:rsid w:val="00F95FD4"/>
    <w:rsid w:val="00F968B3"/>
    <w:rsid w:val="00F97D44"/>
    <w:rsid w:val="00FB2CD6"/>
    <w:rsid w:val="00FC4ED2"/>
    <w:rsid w:val="00FD4869"/>
    <w:rsid w:val="00FE1F48"/>
    <w:rsid w:val="00FE783F"/>
    <w:rsid w:val="00FF3C7D"/>
    <w:rsid w:val="00FF7D15"/>
    <w:rsid w:val="038F39C5"/>
    <w:rsid w:val="04D33CB6"/>
    <w:rsid w:val="092C3E97"/>
    <w:rsid w:val="10AD4036"/>
    <w:rsid w:val="179A31F4"/>
    <w:rsid w:val="239B0BD1"/>
    <w:rsid w:val="23AC61A6"/>
    <w:rsid w:val="25796FD5"/>
    <w:rsid w:val="278E2317"/>
    <w:rsid w:val="27C07154"/>
    <w:rsid w:val="28373C48"/>
    <w:rsid w:val="28711826"/>
    <w:rsid w:val="2D1C1BB2"/>
    <w:rsid w:val="2D1E5337"/>
    <w:rsid w:val="3429645F"/>
    <w:rsid w:val="37394BDC"/>
    <w:rsid w:val="38393B58"/>
    <w:rsid w:val="411F69E1"/>
    <w:rsid w:val="41580EEF"/>
    <w:rsid w:val="522430A6"/>
    <w:rsid w:val="5EC83121"/>
    <w:rsid w:val="5FC65CF0"/>
    <w:rsid w:val="656B250C"/>
    <w:rsid w:val="67236772"/>
    <w:rsid w:val="6C076667"/>
    <w:rsid w:val="763752DF"/>
    <w:rsid w:val="77EF6FE5"/>
    <w:rsid w:val="780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BAAC"/>
  <w15:docId w15:val="{F868082B-30C0-4AF0-A022-2FA4E60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无列表1"/>
    <w:semiHidden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685</Words>
  <Characters>3906</Characters>
  <Application>Microsoft Office Word</Application>
  <DocSecurity>4</DocSecurity>
  <Lines>32</Lines>
  <Paragraphs>9</Paragraphs>
  <ScaleCrop>false</ScaleCrop>
  <Company>P R C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黄潇</cp:lastModifiedBy>
  <cp:revision>2</cp:revision>
  <cp:lastPrinted>2021-05-24T01:40:00Z</cp:lastPrinted>
  <dcterms:created xsi:type="dcterms:W3CDTF">2023-08-10T01:32:00Z</dcterms:created>
  <dcterms:modified xsi:type="dcterms:W3CDTF">2023-08-10T01:32:00Z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D6614BF27BA64743A6F7376DEFFB4BA2_13</vt:lpwstr>
  </property>
</Properties>
</file>